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1A" w:rsidRPr="00A40B46" w:rsidRDefault="00FB361A">
      <w:pPr>
        <w:rPr>
          <w:rFonts w:ascii="Arial" w:hAnsi="Arial" w:cs="Arial"/>
          <w:b/>
          <w:sz w:val="24"/>
          <w:szCs w:val="24"/>
        </w:rPr>
      </w:pPr>
      <w:r w:rsidRPr="00A40B46">
        <w:rPr>
          <w:rFonts w:ascii="Arial" w:hAnsi="Arial" w:cs="Arial"/>
          <w:b/>
          <w:sz w:val="24"/>
          <w:szCs w:val="24"/>
        </w:rPr>
        <w:t xml:space="preserve">Point </w:t>
      </w:r>
      <w:r w:rsidR="00D03E33">
        <w:rPr>
          <w:rFonts w:ascii="Arial" w:hAnsi="Arial" w:cs="Arial"/>
          <w:b/>
          <w:sz w:val="24"/>
          <w:szCs w:val="24"/>
        </w:rPr>
        <w:t>de convergence entre le référent</w:t>
      </w:r>
      <w:r w:rsidRPr="00A40B46">
        <w:rPr>
          <w:rFonts w:ascii="Arial" w:hAnsi="Arial" w:cs="Arial"/>
          <w:b/>
          <w:sz w:val="24"/>
          <w:szCs w:val="24"/>
        </w:rPr>
        <w:t>iel du bac pro Technique du bâtiment option assistant d’architecte et le programme de mathématiques sciences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3543"/>
        <w:gridCol w:w="3261"/>
      </w:tblGrid>
      <w:tr w:rsidR="00FB361A" w:rsidRPr="00042A7E" w:rsidTr="00042A7E">
        <w:trPr>
          <w:trHeight w:val="1003"/>
        </w:trPr>
        <w:tc>
          <w:tcPr>
            <w:tcW w:w="3936" w:type="dxa"/>
            <w:vAlign w:val="center"/>
          </w:tcPr>
          <w:p w:rsidR="00FB361A" w:rsidRPr="00042A7E" w:rsidRDefault="00FB361A" w:rsidP="00042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A7E">
              <w:rPr>
                <w:rFonts w:ascii="Arial" w:hAnsi="Arial" w:cs="Arial"/>
                <w:b/>
                <w:sz w:val="24"/>
                <w:szCs w:val="24"/>
              </w:rPr>
              <w:t>Référentiel (enseignement professionnel)</w:t>
            </w:r>
          </w:p>
        </w:tc>
        <w:tc>
          <w:tcPr>
            <w:tcW w:w="3543" w:type="dxa"/>
            <w:vAlign w:val="center"/>
          </w:tcPr>
          <w:p w:rsidR="00FB361A" w:rsidRPr="00042A7E" w:rsidRDefault="00FB361A" w:rsidP="00042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A7E">
              <w:rPr>
                <w:rFonts w:ascii="Arial" w:hAnsi="Arial" w:cs="Arial"/>
                <w:b/>
                <w:sz w:val="24"/>
                <w:szCs w:val="24"/>
              </w:rPr>
              <w:t>Programme de mathématiques sciences</w:t>
            </w:r>
          </w:p>
        </w:tc>
        <w:tc>
          <w:tcPr>
            <w:tcW w:w="3261" w:type="dxa"/>
            <w:vAlign w:val="center"/>
          </w:tcPr>
          <w:p w:rsidR="00FB361A" w:rsidRPr="00042A7E" w:rsidRDefault="00FB361A" w:rsidP="00042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A7E">
              <w:rPr>
                <w:rFonts w:ascii="Arial" w:hAnsi="Arial" w:cs="Arial"/>
                <w:b/>
                <w:sz w:val="24"/>
                <w:szCs w:val="24"/>
              </w:rPr>
              <w:t>Projet lié au développement durable</w:t>
            </w:r>
          </w:p>
        </w:tc>
      </w:tr>
      <w:tr w:rsidR="00FB361A" w:rsidRPr="00042A7E" w:rsidTr="00042A7E">
        <w:trPr>
          <w:trHeight w:val="4235"/>
        </w:trPr>
        <w:tc>
          <w:tcPr>
            <w:tcW w:w="3936" w:type="dxa"/>
            <w:vAlign w:val="center"/>
          </w:tcPr>
          <w:p w:rsidR="00FB361A" w:rsidRPr="00042A7E" w:rsidRDefault="00FB361A" w:rsidP="00042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A7E">
              <w:rPr>
                <w:rFonts w:ascii="Arial" w:hAnsi="Arial" w:cs="Arial"/>
                <w:b/>
                <w:sz w:val="24"/>
                <w:szCs w:val="24"/>
              </w:rPr>
              <w:t>S 2.2-1 : Confort thermique</w:t>
            </w:r>
          </w:p>
          <w:p w:rsidR="00FB361A" w:rsidRPr="00042A7E" w:rsidRDefault="00FB361A" w:rsidP="00042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A7E">
              <w:rPr>
                <w:rFonts w:ascii="Arial" w:hAnsi="Arial" w:cs="Arial"/>
                <w:sz w:val="24"/>
                <w:szCs w:val="24"/>
              </w:rPr>
              <w:t>Echanges thermiques</w:t>
            </w:r>
          </w:p>
          <w:p w:rsidR="00FB361A" w:rsidRPr="00042A7E" w:rsidRDefault="00FB361A" w:rsidP="00042A7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A7E">
              <w:rPr>
                <w:rFonts w:ascii="Arial" w:hAnsi="Arial" w:cs="Arial"/>
                <w:sz w:val="24"/>
                <w:szCs w:val="24"/>
              </w:rPr>
              <w:t>Propriétés thermiques des matériaux</w:t>
            </w:r>
          </w:p>
          <w:p w:rsidR="00FB361A" w:rsidRPr="00042A7E" w:rsidRDefault="00FB361A" w:rsidP="00042A7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A7E">
              <w:rPr>
                <w:rFonts w:ascii="Arial" w:hAnsi="Arial" w:cs="Arial"/>
                <w:sz w:val="24"/>
                <w:szCs w:val="24"/>
              </w:rPr>
              <w:t>Réglementation thermique</w:t>
            </w:r>
          </w:p>
          <w:p w:rsidR="00FB361A" w:rsidRPr="00042A7E" w:rsidRDefault="00FB361A" w:rsidP="00042A7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A7E">
              <w:rPr>
                <w:rFonts w:ascii="Arial" w:hAnsi="Arial" w:cs="Arial"/>
                <w:sz w:val="24"/>
                <w:szCs w:val="24"/>
              </w:rPr>
              <w:t>Calcul simplifié</w:t>
            </w:r>
          </w:p>
          <w:p w:rsidR="00FB361A" w:rsidRPr="00042A7E" w:rsidRDefault="00FB361A" w:rsidP="00042A7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A7E">
              <w:rPr>
                <w:rFonts w:ascii="Arial" w:hAnsi="Arial" w:cs="Arial"/>
                <w:sz w:val="24"/>
                <w:szCs w:val="24"/>
              </w:rPr>
              <w:t>Performance énergétique globale de l’enveloppe d’un bâtiment</w:t>
            </w:r>
          </w:p>
          <w:p w:rsidR="00FB361A" w:rsidRPr="00042A7E" w:rsidRDefault="00FB361A" w:rsidP="00042A7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A7E">
              <w:rPr>
                <w:rFonts w:ascii="Arial" w:hAnsi="Arial" w:cs="Arial"/>
                <w:sz w:val="24"/>
                <w:szCs w:val="24"/>
              </w:rPr>
              <w:t>Isolation intérieure</w:t>
            </w:r>
          </w:p>
        </w:tc>
        <w:tc>
          <w:tcPr>
            <w:tcW w:w="3543" w:type="dxa"/>
          </w:tcPr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A7E">
              <w:rPr>
                <w:rFonts w:ascii="Arial" w:hAnsi="Arial" w:cs="Arial"/>
                <w:b/>
                <w:sz w:val="24"/>
                <w:szCs w:val="24"/>
              </w:rPr>
              <w:t>CME1 : Quelle est la différence entre température et chaleur ?</w:t>
            </w: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A7E">
              <w:rPr>
                <w:rFonts w:ascii="Arial" w:hAnsi="Arial" w:cs="Arial"/>
                <w:b/>
                <w:sz w:val="24"/>
                <w:szCs w:val="24"/>
              </w:rPr>
              <w:t>CME4 : Comment chauffer ou se chauffer ?</w:t>
            </w: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A7E">
              <w:rPr>
                <w:rFonts w:ascii="Arial" w:hAnsi="Arial" w:cs="Arial"/>
                <w:b/>
                <w:sz w:val="24"/>
                <w:szCs w:val="24"/>
              </w:rPr>
              <w:t xml:space="preserve">CME5 : Peux </w:t>
            </w:r>
            <w:proofErr w:type="spellStart"/>
            <w:r w:rsidRPr="00042A7E">
              <w:rPr>
                <w:rFonts w:ascii="Arial" w:hAnsi="Arial" w:cs="Arial"/>
                <w:b/>
                <w:sz w:val="24"/>
                <w:szCs w:val="24"/>
              </w:rPr>
              <w:t>t-on</w:t>
            </w:r>
            <w:proofErr w:type="spellEnd"/>
            <w:r w:rsidRPr="00042A7E">
              <w:rPr>
                <w:rFonts w:ascii="Arial" w:hAnsi="Arial" w:cs="Arial"/>
                <w:b/>
                <w:sz w:val="24"/>
                <w:szCs w:val="24"/>
              </w:rPr>
              <w:t xml:space="preserve"> concilier confort et développement durable ?</w:t>
            </w:r>
          </w:p>
        </w:tc>
        <w:tc>
          <w:tcPr>
            <w:tcW w:w="3261" w:type="dxa"/>
          </w:tcPr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A7E">
              <w:rPr>
                <w:rFonts w:ascii="Arial" w:hAnsi="Arial" w:cs="Arial"/>
                <w:b/>
                <w:sz w:val="24"/>
                <w:szCs w:val="24"/>
              </w:rPr>
              <w:t>Economiser l’énergie</w:t>
            </w: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361A" w:rsidRPr="00042A7E" w:rsidTr="00042A7E">
        <w:trPr>
          <w:trHeight w:val="2834"/>
        </w:trPr>
        <w:tc>
          <w:tcPr>
            <w:tcW w:w="3936" w:type="dxa"/>
          </w:tcPr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A7E">
              <w:rPr>
                <w:rFonts w:ascii="Arial" w:hAnsi="Arial" w:cs="Arial"/>
                <w:b/>
                <w:sz w:val="24"/>
                <w:szCs w:val="24"/>
              </w:rPr>
              <w:t xml:space="preserve">    S 2.2-2 : Confort acoustique</w:t>
            </w: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A7E">
              <w:rPr>
                <w:rFonts w:ascii="Arial" w:hAnsi="Arial" w:cs="Arial"/>
                <w:sz w:val="24"/>
                <w:szCs w:val="24"/>
              </w:rPr>
              <w:t>Notions élémentaires en acoustique</w:t>
            </w:r>
          </w:p>
          <w:p w:rsidR="00FB361A" w:rsidRPr="00042A7E" w:rsidRDefault="00FB361A" w:rsidP="00042A7E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A7E">
              <w:rPr>
                <w:rFonts w:ascii="Arial" w:hAnsi="Arial" w:cs="Arial"/>
                <w:sz w:val="24"/>
                <w:szCs w:val="24"/>
              </w:rPr>
              <w:t>Réglementation acoustique</w:t>
            </w:r>
          </w:p>
          <w:p w:rsidR="00FB361A" w:rsidRPr="00042A7E" w:rsidRDefault="00FB361A" w:rsidP="00042A7E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A7E">
              <w:rPr>
                <w:rFonts w:ascii="Arial" w:hAnsi="Arial" w:cs="Arial"/>
                <w:sz w:val="24"/>
                <w:szCs w:val="24"/>
              </w:rPr>
              <w:t>Isolation acoustique</w:t>
            </w:r>
          </w:p>
          <w:p w:rsidR="00FB361A" w:rsidRPr="00042A7E" w:rsidRDefault="00FB361A" w:rsidP="00042A7E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A7E">
              <w:rPr>
                <w:rFonts w:ascii="Arial" w:hAnsi="Arial" w:cs="Arial"/>
                <w:sz w:val="24"/>
                <w:szCs w:val="24"/>
              </w:rPr>
              <w:t>Correction acoustique</w:t>
            </w:r>
          </w:p>
        </w:tc>
        <w:tc>
          <w:tcPr>
            <w:tcW w:w="3543" w:type="dxa"/>
          </w:tcPr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A7E">
              <w:rPr>
                <w:rFonts w:ascii="Arial" w:hAnsi="Arial" w:cs="Arial"/>
                <w:b/>
                <w:sz w:val="24"/>
                <w:szCs w:val="24"/>
              </w:rPr>
              <w:t>CME3 : Comment isoler une pièce du bruit ?</w:t>
            </w: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A7E">
              <w:rPr>
                <w:rFonts w:ascii="Arial" w:hAnsi="Arial" w:cs="Arial"/>
                <w:b/>
                <w:sz w:val="24"/>
                <w:szCs w:val="24"/>
              </w:rPr>
              <w:t>HS3 : Faut-il se protéger des sons ?</w:t>
            </w: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A7E">
              <w:rPr>
                <w:rFonts w:ascii="Arial" w:hAnsi="Arial" w:cs="Arial"/>
                <w:b/>
                <w:sz w:val="24"/>
                <w:szCs w:val="24"/>
              </w:rPr>
              <w:t>SL2 : Comment un son se propage t-il ?</w:t>
            </w:r>
          </w:p>
        </w:tc>
        <w:tc>
          <w:tcPr>
            <w:tcW w:w="3261" w:type="dxa"/>
          </w:tcPr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361A" w:rsidRPr="00042A7E" w:rsidTr="00042A7E">
        <w:trPr>
          <w:trHeight w:val="2834"/>
        </w:trPr>
        <w:tc>
          <w:tcPr>
            <w:tcW w:w="3936" w:type="dxa"/>
          </w:tcPr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A7E">
              <w:rPr>
                <w:rFonts w:ascii="Arial" w:hAnsi="Arial" w:cs="Arial"/>
                <w:b/>
                <w:sz w:val="24"/>
                <w:szCs w:val="24"/>
              </w:rPr>
              <w:t xml:space="preserve">     S 2.2-4 : Confort lié au    renouvellement de l’air</w:t>
            </w: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A7E">
              <w:rPr>
                <w:rFonts w:ascii="Arial" w:hAnsi="Arial" w:cs="Arial"/>
                <w:sz w:val="24"/>
                <w:szCs w:val="24"/>
              </w:rPr>
              <w:t>Aération et ventilation des locaux</w:t>
            </w:r>
          </w:p>
          <w:p w:rsidR="00FB361A" w:rsidRPr="00042A7E" w:rsidRDefault="00FB361A" w:rsidP="00042A7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A7E">
              <w:rPr>
                <w:rFonts w:ascii="Arial" w:hAnsi="Arial" w:cs="Arial"/>
                <w:sz w:val="24"/>
                <w:szCs w:val="24"/>
              </w:rPr>
              <w:t>Réglementation</w:t>
            </w:r>
          </w:p>
        </w:tc>
        <w:tc>
          <w:tcPr>
            <w:tcW w:w="3543" w:type="dxa"/>
          </w:tcPr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A7E">
              <w:rPr>
                <w:rFonts w:ascii="Arial" w:hAnsi="Arial" w:cs="Arial"/>
                <w:b/>
                <w:sz w:val="24"/>
                <w:szCs w:val="24"/>
              </w:rPr>
              <w:t>HS2 : Les liquides d’usage courant : Que contiennent-ils et quels risques peuvent-ils présenter ?</w:t>
            </w:r>
          </w:p>
        </w:tc>
        <w:tc>
          <w:tcPr>
            <w:tcW w:w="3261" w:type="dxa"/>
          </w:tcPr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A7E">
              <w:rPr>
                <w:rFonts w:ascii="Arial" w:hAnsi="Arial" w:cs="Arial"/>
                <w:b/>
                <w:sz w:val="24"/>
                <w:szCs w:val="24"/>
              </w:rPr>
              <w:t xml:space="preserve">    Améliorer la qualité de l’air dans l’habitat</w:t>
            </w:r>
          </w:p>
        </w:tc>
      </w:tr>
      <w:tr w:rsidR="00FB361A" w:rsidRPr="00042A7E" w:rsidTr="00042A7E">
        <w:trPr>
          <w:trHeight w:val="1823"/>
        </w:trPr>
        <w:tc>
          <w:tcPr>
            <w:tcW w:w="3936" w:type="dxa"/>
          </w:tcPr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A7E">
              <w:rPr>
                <w:rFonts w:ascii="Arial" w:hAnsi="Arial" w:cs="Arial"/>
                <w:b/>
                <w:sz w:val="24"/>
                <w:szCs w:val="24"/>
              </w:rPr>
              <w:t>S 2.3-2 : Protection passive</w:t>
            </w: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42A7E">
              <w:rPr>
                <w:rFonts w:ascii="Arial" w:hAnsi="Arial" w:cs="Arial"/>
                <w:i/>
                <w:sz w:val="24"/>
                <w:szCs w:val="24"/>
              </w:rPr>
              <w:t>Dispositions réglementaires relatives aux éléments nocifs (amiante, plomb, radon, COV…)</w:t>
            </w: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A7E">
              <w:rPr>
                <w:rFonts w:ascii="Arial" w:hAnsi="Arial" w:cs="Arial"/>
                <w:b/>
                <w:sz w:val="24"/>
                <w:szCs w:val="24"/>
              </w:rPr>
              <w:t>HS2 : Les liquides d’usage courant : Que contiennent-ils et quels risques peuvent-ils présenter ?</w:t>
            </w:r>
          </w:p>
        </w:tc>
        <w:tc>
          <w:tcPr>
            <w:tcW w:w="3261" w:type="dxa"/>
          </w:tcPr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A7E">
              <w:rPr>
                <w:rFonts w:ascii="Arial" w:hAnsi="Arial" w:cs="Arial"/>
                <w:b/>
                <w:sz w:val="24"/>
                <w:szCs w:val="24"/>
              </w:rPr>
              <w:t xml:space="preserve">   Améliorer la qualité de l’air dans l’habitat </w:t>
            </w:r>
          </w:p>
        </w:tc>
      </w:tr>
      <w:tr w:rsidR="00FB361A" w:rsidRPr="00042A7E" w:rsidTr="00042A7E">
        <w:trPr>
          <w:trHeight w:val="1823"/>
        </w:trPr>
        <w:tc>
          <w:tcPr>
            <w:tcW w:w="3936" w:type="dxa"/>
          </w:tcPr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A7E">
              <w:rPr>
                <w:rFonts w:ascii="Arial" w:hAnsi="Arial" w:cs="Arial"/>
                <w:b/>
                <w:sz w:val="24"/>
                <w:szCs w:val="24"/>
              </w:rPr>
              <w:t>S 3.5 : Equipements techniques</w:t>
            </w: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A7E">
              <w:rPr>
                <w:rFonts w:ascii="Arial" w:hAnsi="Arial" w:cs="Arial"/>
                <w:sz w:val="24"/>
                <w:szCs w:val="24"/>
              </w:rPr>
              <w:t>Installations thermiques</w:t>
            </w:r>
          </w:p>
          <w:p w:rsidR="00FB361A" w:rsidRPr="00042A7E" w:rsidRDefault="00FB361A" w:rsidP="00042A7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A7E">
              <w:rPr>
                <w:rFonts w:ascii="Arial" w:hAnsi="Arial" w:cs="Arial"/>
                <w:sz w:val="24"/>
                <w:szCs w:val="24"/>
              </w:rPr>
              <w:t>Climatisation et traitement de l’air</w:t>
            </w: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A7E">
              <w:rPr>
                <w:rFonts w:ascii="Arial" w:hAnsi="Arial" w:cs="Arial"/>
                <w:b/>
                <w:sz w:val="24"/>
                <w:szCs w:val="24"/>
              </w:rPr>
              <w:t>CME1 : Quelle est la différence entre température et chaleur ?</w:t>
            </w: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A7E">
              <w:rPr>
                <w:rFonts w:ascii="Arial" w:hAnsi="Arial" w:cs="Arial"/>
                <w:b/>
                <w:sz w:val="24"/>
                <w:szCs w:val="24"/>
              </w:rPr>
              <w:t>CME4 : Comment chauffer ou se chauffer ?</w:t>
            </w: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A7E">
              <w:rPr>
                <w:rFonts w:ascii="Arial" w:hAnsi="Arial" w:cs="Arial"/>
                <w:b/>
                <w:sz w:val="24"/>
                <w:szCs w:val="24"/>
              </w:rPr>
              <w:t xml:space="preserve">CME5 : Peux </w:t>
            </w:r>
            <w:proofErr w:type="spellStart"/>
            <w:r w:rsidRPr="00042A7E">
              <w:rPr>
                <w:rFonts w:ascii="Arial" w:hAnsi="Arial" w:cs="Arial"/>
                <w:b/>
                <w:sz w:val="24"/>
                <w:szCs w:val="24"/>
              </w:rPr>
              <w:t>t-on</w:t>
            </w:r>
            <w:proofErr w:type="spellEnd"/>
            <w:r w:rsidRPr="00042A7E">
              <w:rPr>
                <w:rFonts w:ascii="Arial" w:hAnsi="Arial" w:cs="Arial"/>
                <w:b/>
                <w:sz w:val="24"/>
                <w:szCs w:val="24"/>
              </w:rPr>
              <w:t xml:space="preserve"> concilier confort et développement durable ?</w:t>
            </w: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A7E">
              <w:rPr>
                <w:rFonts w:ascii="Arial" w:hAnsi="Arial" w:cs="Arial"/>
                <w:b/>
                <w:sz w:val="24"/>
                <w:szCs w:val="24"/>
              </w:rPr>
              <w:t>CME6 : Comment fonctionnent certains dispositifs de chauffage ?</w:t>
            </w: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A7E">
              <w:rPr>
                <w:rFonts w:ascii="Arial" w:hAnsi="Arial" w:cs="Arial"/>
                <w:b/>
                <w:sz w:val="24"/>
                <w:szCs w:val="24"/>
              </w:rPr>
              <w:t>Améliorer la qualité de l’air dans l’habitat</w:t>
            </w: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A7E">
              <w:rPr>
                <w:rFonts w:ascii="Arial" w:hAnsi="Arial" w:cs="Arial"/>
                <w:b/>
                <w:sz w:val="24"/>
                <w:szCs w:val="24"/>
              </w:rPr>
              <w:t>Economiser l’énergie</w:t>
            </w: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A7E">
              <w:rPr>
                <w:rFonts w:ascii="Arial" w:hAnsi="Arial" w:cs="Arial"/>
                <w:b/>
                <w:sz w:val="24"/>
                <w:szCs w:val="24"/>
              </w:rPr>
              <w:t>Les énergies renouvelables</w:t>
            </w: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361A" w:rsidRPr="00042A7E" w:rsidTr="00042A7E">
        <w:trPr>
          <w:trHeight w:val="1823"/>
        </w:trPr>
        <w:tc>
          <w:tcPr>
            <w:tcW w:w="3936" w:type="dxa"/>
          </w:tcPr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A7E">
              <w:rPr>
                <w:rFonts w:ascii="Arial" w:hAnsi="Arial" w:cs="Arial"/>
                <w:b/>
                <w:sz w:val="24"/>
                <w:szCs w:val="24"/>
              </w:rPr>
              <w:t>S 3.6 : Finitions</w:t>
            </w: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A7E">
              <w:rPr>
                <w:rFonts w:ascii="Arial" w:hAnsi="Arial" w:cs="Arial"/>
                <w:sz w:val="24"/>
                <w:szCs w:val="24"/>
              </w:rPr>
              <w:t>Enduits intérieurs</w:t>
            </w:r>
          </w:p>
          <w:p w:rsidR="00FB361A" w:rsidRPr="00042A7E" w:rsidRDefault="00FB361A" w:rsidP="00042A7E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A7E">
              <w:rPr>
                <w:rFonts w:ascii="Arial" w:hAnsi="Arial" w:cs="Arial"/>
                <w:sz w:val="24"/>
                <w:szCs w:val="24"/>
              </w:rPr>
              <w:t>Revêtement des sols et des murs</w:t>
            </w:r>
          </w:p>
          <w:p w:rsidR="00FB361A" w:rsidRPr="00042A7E" w:rsidRDefault="00FB361A" w:rsidP="00042A7E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A7E">
              <w:rPr>
                <w:rFonts w:ascii="Arial" w:hAnsi="Arial" w:cs="Arial"/>
                <w:sz w:val="24"/>
                <w:szCs w:val="24"/>
              </w:rPr>
              <w:t>Peinture</w:t>
            </w: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A7E">
              <w:rPr>
                <w:rFonts w:ascii="Arial" w:hAnsi="Arial" w:cs="Arial"/>
                <w:b/>
                <w:sz w:val="24"/>
                <w:szCs w:val="24"/>
              </w:rPr>
              <w:t>HS2 : Les liquides d’usage courant : Que contiennent-ils et quels risques peuvent-ils présenter ?</w:t>
            </w:r>
          </w:p>
        </w:tc>
        <w:tc>
          <w:tcPr>
            <w:tcW w:w="3261" w:type="dxa"/>
          </w:tcPr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A7E">
              <w:rPr>
                <w:rFonts w:ascii="Arial" w:hAnsi="Arial" w:cs="Arial"/>
                <w:b/>
                <w:sz w:val="24"/>
                <w:szCs w:val="24"/>
              </w:rPr>
              <w:t>Améliorer la qualité de l’air dans l’habitat</w:t>
            </w:r>
          </w:p>
        </w:tc>
      </w:tr>
      <w:tr w:rsidR="00FB361A" w:rsidRPr="00042A7E" w:rsidTr="00042A7E">
        <w:trPr>
          <w:trHeight w:val="1823"/>
        </w:trPr>
        <w:tc>
          <w:tcPr>
            <w:tcW w:w="3936" w:type="dxa"/>
          </w:tcPr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A7E">
              <w:rPr>
                <w:rFonts w:ascii="Arial" w:hAnsi="Arial" w:cs="Arial"/>
                <w:b/>
                <w:sz w:val="24"/>
                <w:szCs w:val="24"/>
              </w:rPr>
              <w:t>S 5.1 : Avant métré, métré et quantitatif</w:t>
            </w: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A7E">
              <w:rPr>
                <w:rFonts w:ascii="Arial" w:hAnsi="Arial" w:cs="Arial"/>
                <w:sz w:val="24"/>
                <w:szCs w:val="24"/>
              </w:rPr>
              <w:t xml:space="preserve">     Devis quantitatif</w:t>
            </w:r>
          </w:p>
        </w:tc>
        <w:tc>
          <w:tcPr>
            <w:tcW w:w="3543" w:type="dxa"/>
          </w:tcPr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A7E">
              <w:rPr>
                <w:rFonts w:ascii="Arial" w:hAnsi="Arial" w:cs="Arial"/>
                <w:b/>
                <w:sz w:val="24"/>
                <w:szCs w:val="24"/>
              </w:rPr>
              <w:t>2. Algèbre, analyse</w:t>
            </w: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A7E">
              <w:rPr>
                <w:rFonts w:ascii="Arial" w:hAnsi="Arial" w:cs="Arial"/>
                <w:sz w:val="24"/>
                <w:szCs w:val="24"/>
              </w:rPr>
              <w:t>Information chiffrée proportionnalité</w:t>
            </w:r>
          </w:p>
        </w:tc>
        <w:tc>
          <w:tcPr>
            <w:tcW w:w="3261" w:type="dxa"/>
          </w:tcPr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361A" w:rsidRPr="00042A7E" w:rsidTr="00042A7E">
        <w:trPr>
          <w:trHeight w:val="1823"/>
        </w:trPr>
        <w:tc>
          <w:tcPr>
            <w:tcW w:w="3936" w:type="dxa"/>
          </w:tcPr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A7E">
              <w:rPr>
                <w:rFonts w:ascii="Arial" w:hAnsi="Arial" w:cs="Arial"/>
                <w:b/>
                <w:sz w:val="24"/>
                <w:szCs w:val="24"/>
              </w:rPr>
              <w:t>S 8.1 : Techniques de représentation</w:t>
            </w: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A7E">
              <w:rPr>
                <w:rFonts w:ascii="Arial" w:hAnsi="Arial" w:cs="Arial"/>
                <w:sz w:val="24"/>
                <w:szCs w:val="24"/>
              </w:rPr>
              <w:t>Croquis à main levée</w:t>
            </w:r>
          </w:p>
          <w:p w:rsidR="00FB361A" w:rsidRPr="00042A7E" w:rsidRDefault="00FB361A" w:rsidP="00042A7E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A7E">
              <w:rPr>
                <w:rFonts w:ascii="Arial" w:hAnsi="Arial" w:cs="Arial"/>
                <w:sz w:val="24"/>
                <w:szCs w:val="24"/>
              </w:rPr>
              <w:t>Perspectives</w:t>
            </w:r>
          </w:p>
          <w:p w:rsidR="00FB361A" w:rsidRPr="00042A7E" w:rsidRDefault="00FB361A" w:rsidP="00042A7E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A7E">
              <w:rPr>
                <w:rFonts w:ascii="Arial" w:hAnsi="Arial" w:cs="Arial"/>
                <w:sz w:val="24"/>
                <w:szCs w:val="24"/>
              </w:rPr>
              <w:t>Rendus</w:t>
            </w:r>
          </w:p>
          <w:p w:rsidR="00FB361A" w:rsidRPr="00042A7E" w:rsidRDefault="00FB361A" w:rsidP="00042A7E">
            <w:pPr>
              <w:pStyle w:val="Paragraphedeliste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A7E">
              <w:rPr>
                <w:rFonts w:ascii="Arial" w:hAnsi="Arial" w:cs="Arial"/>
                <w:b/>
                <w:sz w:val="24"/>
                <w:szCs w:val="24"/>
              </w:rPr>
              <w:t>3. Géométrie</w:t>
            </w:r>
          </w:p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61A" w:rsidRPr="00042A7E" w:rsidRDefault="00FB361A" w:rsidP="00042A7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A7E">
              <w:rPr>
                <w:rFonts w:ascii="Arial" w:hAnsi="Arial" w:cs="Arial"/>
                <w:sz w:val="24"/>
                <w:szCs w:val="24"/>
              </w:rPr>
              <w:t>De la géométrie dans l’espace à la géométrie plane</w:t>
            </w:r>
          </w:p>
          <w:p w:rsidR="00FB361A" w:rsidRPr="00042A7E" w:rsidRDefault="00FB361A" w:rsidP="00042A7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2A7E">
              <w:rPr>
                <w:rFonts w:ascii="Arial" w:hAnsi="Arial" w:cs="Arial"/>
                <w:sz w:val="24"/>
                <w:szCs w:val="24"/>
              </w:rPr>
              <w:t>Géométrie et nombre</w:t>
            </w:r>
          </w:p>
          <w:p w:rsidR="00FB361A" w:rsidRPr="00042A7E" w:rsidRDefault="00FB361A" w:rsidP="00042A7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A7E">
              <w:rPr>
                <w:rFonts w:ascii="Arial" w:hAnsi="Arial" w:cs="Arial"/>
                <w:sz w:val="24"/>
                <w:szCs w:val="24"/>
              </w:rPr>
              <w:t>Vecteurs</w:t>
            </w:r>
          </w:p>
        </w:tc>
        <w:tc>
          <w:tcPr>
            <w:tcW w:w="3261" w:type="dxa"/>
          </w:tcPr>
          <w:p w:rsidR="00FB361A" w:rsidRPr="00042A7E" w:rsidRDefault="00FB361A" w:rsidP="00042A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B361A" w:rsidRPr="00A40B46" w:rsidRDefault="00FB361A">
      <w:pPr>
        <w:rPr>
          <w:rFonts w:ascii="Arial" w:hAnsi="Arial" w:cs="Arial"/>
          <w:b/>
          <w:sz w:val="24"/>
          <w:szCs w:val="24"/>
        </w:rPr>
      </w:pPr>
    </w:p>
    <w:sectPr w:rsidR="00FB361A" w:rsidRPr="00A40B46" w:rsidSect="007977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BF8"/>
    <w:multiLevelType w:val="hybridMultilevel"/>
    <w:tmpl w:val="6254A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C54D9"/>
    <w:multiLevelType w:val="hybridMultilevel"/>
    <w:tmpl w:val="B2560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5607F"/>
    <w:multiLevelType w:val="hybridMultilevel"/>
    <w:tmpl w:val="472CE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A3302"/>
    <w:multiLevelType w:val="hybridMultilevel"/>
    <w:tmpl w:val="3948D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0209E"/>
    <w:multiLevelType w:val="hybridMultilevel"/>
    <w:tmpl w:val="04022F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B6DD9"/>
    <w:multiLevelType w:val="hybridMultilevel"/>
    <w:tmpl w:val="BD10C4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36588"/>
    <w:multiLevelType w:val="hybridMultilevel"/>
    <w:tmpl w:val="9F305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748B0"/>
    <w:multiLevelType w:val="hybridMultilevel"/>
    <w:tmpl w:val="ABEE4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846B5"/>
    <w:multiLevelType w:val="hybridMultilevel"/>
    <w:tmpl w:val="84D2F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1118A"/>
    <w:multiLevelType w:val="hybridMultilevel"/>
    <w:tmpl w:val="1DFA7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B1B5D"/>
    <w:multiLevelType w:val="hybridMultilevel"/>
    <w:tmpl w:val="04AEF6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E155A"/>
    <w:multiLevelType w:val="hybridMultilevel"/>
    <w:tmpl w:val="C69A9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10D29"/>
    <w:multiLevelType w:val="hybridMultilevel"/>
    <w:tmpl w:val="3552F51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F1252"/>
    <w:multiLevelType w:val="hybridMultilevel"/>
    <w:tmpl w:val="20D2A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C23AF"/>
    <w:multiLevelType w:val="hybridMultilevel"/>
    <w:tmpl w:val="2CF4F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D7C9D"/>
    <w:multiLevelType w:val="hybridMultilevel"/>
    <w:tmpl w:val="C1741D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15"/>
  </w:num>
  <w:num w:numId="9">
    <w:abstractNumId w:val="11"/>
  </w:num>
  <w:num w:numId="10">
    <w:abstractNumId w:val="0"/>
  </w:num>
  <w:num w:numId="11">
    <w:abstractNumId w:val="5"/>
  </w:num>
  <w:num w:numId="12">
    <w:abstractNumId w:val="14"/>
  </w:num>
  <w:num w:numId="13">
    <w:abstractNumId w:val="8"/>
  </w:num>
  <w:num w:numId="14">
    <w:abstractNumId w:val="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0B46"/>
    <w:rsid w:val="00042A7E"/>
    <w:rsid w:val="000C1F2E"/>
    <w:rsid w:val="00186A4E"/>
    <w:rsid w:val="001E5BA2"/>
    <w:rsid w:val="0045374C"/>
    <w:rsid w:val="00492ED5"/>
    <w:rsid w:val="00514F04"/>
    <w:rsid w:val="00517658"/>
    <w:rsid w:val="00533DB9"/>
    <w:rsid w:val="00562898"/>
    <w:rsid w:val="00601AE5"/>
    <w:rsid w:val="0079774A"/>
    <w:rsid w:val="00872708"/>
    <w:rsid w:val="00A40B46"/>
    <w:rsid w:val="00C93667"/>
    <w:rsid w:val="00D03E33"/>
    <w:rsid w:val="00E566D7"/>
    <w:rsid w:val="00E61A1D"/>
    <w:rsid w:val="00FB361A"/>
    <w:rsid w:val="00FC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1D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A40B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A40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2060</Characters>
  <Application>Microsoft Office Word</Application>
  <DocSecurity>0</DocSecurity>
  <Lines>17</Lines>
  <Paragraphs>4</Paragraphs>
  <ScaleCrop>false</ScaleCrop>
  <Company>HP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 de convergence entre le référenciel du bac pro Technique du bâtiment option assistant d’architecte et le programme de mathématiques sciences</dc:title>
  <dc:creator>MSC2D08</dc:creator>
  <cp:lastModifiedBy>xpadmin</cp:lastModifiedBy>
  <cp:revision>2</cp:revision>
  <dcterms:created xsi:type="dcterms:W3CDTF">2014-05-26T13:41:00Z</dcterms:created>
  <dcterms:modified xsi:type="dcterms:W3CDTF">2014-05-26T13:41:00Z</dcterms:modified>
</cp:coreProperties>
</file>